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D0" w:rsidRPr="0089439A" w:rsidRDefault="002F1ED0" w:rsidP="00E85820">
      <w:pPr>
        <w:jc w:val="center"/>
        <w:rPr>
          <w:rFonts w:ascii="Humanst521 BT" w:hAnsi="Humanst521 BT"/>
          <w:b/>
          <w:sz w:val="24"/>
          <w:szCs w:val="24"/>
        </w:rPr>
      </w:pPr>
      <w:bookmarkStart w:id="0" w:name="_GoBack"/>
      <w:bookmarkEnd w:id="0"/>
      <w:r w:rsidRPr="0089439A">
        <w:rPr>
          <w:rFonts w:ascii="Humanst521 BT" w:hAnsi="Humanst521 BT"/>
          <w:b/>
          <w:sz w:val="24"/>
          <w:szCs w:val="24"/>
        </w:rPr>
        <w:t>Mitarbeiterunterweisung zur Qualitätssicherungsleitlinie „Versorgung und Betreuung der Bewohner von Alten- und Pflegeheimen oder sonstigen Betreuungseinrichtungen“</w:t>
      </w:r>
    </w:p>
    <w:p w:rsidR="002F1ED0" w:rsidRPr="000B29ED" w:rsidRDefault="00A82261" w:rsidP="002F1ED0">
      <w:pPr>
        <w:jc w:val="both"/>
        <w:rPr>
          <w:rFonts w:ascii="Humanst521 BT" w:hAnsi="Humanst521 BT"/>
          <w:sz w:val="24"/>
          <w:szCs w:val="24"/>
        </w:rPr>
      </w:pPr>
      <w:r w:rsidRPr="000B29ED">
        <w:rPr>
          <w:rFonts w:ascii="Humanst521 BT" w:hAnsi="Humanst521 BT"/>
          <w:sz w:val="24"/>
          <w:szCs w:val="24"/>
        </w:rPr>
        <w:t xml:space="preserve">Den öffentlichen Apotheken obliegt als wesentlicher Teilbereich der ordnungsgemäßen Arzneimittelversorgung der Bevölkerung auch die Arzneimittelversorgung und apothekerliche Betreuung der Bewohner von Alten- und Pflegeheimen und sonstigen Betreuungseinrichtungen. </w:t>
      </w:r>
      <w:r w:rsidR="002F1ED0" w:rsidRPr="000B29ED">
        <w:rPr>
          <w:rFonts w:ascii="Humanst521 BT" w:hAnsi="Humanst521 BT"/>
          <w:sz w:val="24"/>
          <w:szCs w:val="24"/>
        </w:rPr>
        <w:t xml:space="preserve">Die Österreichische Apothekerkammer hat mit der Qualitätssicherungsleitlinie „Versorgung und Betreuung der Bewohner von Alten- und Pflegeheimen oder sonstigen Betreuungseinrichtungen“ verpflichtende Qualitätsstandards für die Arzneimittelversorgung und apothekerliche Betreuung der Bewohner von Alten- und Pflegeheimen und sonstigen Betreuungseinrichtungen sowie für die Zusammenarbeit mit den Heimleitungen, den betreuenden Ärzten und dem Pflegepersonal festlegt. </w:t>
      </w:r>
    </w:p>
    <w:p w:rsidR="00A82261" w:rsidRPr="000B29ED" w:rsidRDefault="00AD3205" w:rsidP="00A82261">
      <w:p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Der Apothekenleiter trägt gemäß § 2 Abs. 3 Z 5 Apothekenbetriebsordnung 2005 die pharmazeutisch-fachliche Verantwortung für die Einhaltung der Qualitätssicherungsleitlinie.</w:t>
      </w:r>
    </w:p>
    <w:p w:rsidR="00A82261" w:rsidRPr="000B29ED" w:rsidRDefault="00A82261" w:rsidP="00A82261">
      <w:pPr>
        <w:jc w:val="both"/>
        <w:rPr>
          <w:rFonts w:ascii="Humanst521 BT" w:hAnsi="Humanst521 BT"/>
          <w:sz w:val="24"/>
          <w:szCs w:val="24"/>
        </w:rPr>
      </w:pPr>
      <w:r w:rsidRPr="000B29ED">
        <w:rPr>
          <w:rFonts w:ascii="Humanst521 BT" w:hAnsi="Humanst521 BT"/>
          <w:sz w:val="24"/>
          <w:szCs w:val="24"/>
        </w:rPr>
        <w:t>Die Apotheke _________________________ betreut und versorgt folgende Alten- und Pflegeheime bzw. sonstige Betreuungseinrichtungen:</w:t>
      </w:r>
    </w:p>
    <w:p w:rsidR="00A82261" w:rsidRPr="000B29ED" w:rsidRDefault="00A82261" w:rsidP="00A82261">
      <w:pPr>
        <w:jc w:val="both"/>
        <w:rPr>
          <w:rFonts w:ascii="Humanst521 BT" w:hAnsi="Humanst521 BT"/>
          <w:sz w:val="24"/>
          <w:szCs w:val="24"/>
        </w:rPr>
      </w:pPr>
    </w:p>
    <w:p w:rsidR="00A82261" w:rsidRPr="000B29ED" w:rsidRDefault="00A82261" w:rsidP="00A82261">
      <w:pPr>
        <w:jc w:val="both"/>
        <w:rPr>
          <w:rFonts w:ascii="Humanst521 BT" w:hAnsi="Humanst521 BT"/>
          <w:sz w:val="24"/>
          <w:szCs w:val="24"/>
        </w:rPr>
      </w:pPr>
    </w:p>
    <w:p w:rsidR="00A82261" w:rsidRPr="000B29ED" w:rsidRDefault="00A82261" w:rsidP="00A82261">
      <w:pPr>
        <w:jc w:val="both"/>
        <w:rPr>
          <w:rFonts w:ascii="Humanst521 BT" w:hAnsi="Humanst521 BT"/>
          <w:sz w:val="24"/>
          <w:szCs w:val="24"/>
        </w:rPr>
      </w:pPr>
    </w:p>
    <w:p w:rsidR="00A82261" w:rsidRPr="000B29ED" w:rsidRDefault="00A82261" w:rsidP="00A82261">
      <w:pPr>
        <w:pStyle w:val="Textkrper"/>
        <w:rPr>
          <w:rFonts w:ascii="Humanst521 BT" w:eastAsiaTheme="minorHAnsi" w:hAnsi="Humanst521 BT" w:cstheme="minorBidi"/>
          <w:sz w:val="24"/>
          <w:szCs w:val="24"/>
          <w:lang w:val="de-AT" w:eastAsia="en-US"/>
        </w:rPr>
      </w:pPr>
      <w:r w:rsidRPr="000B29ED">
        <w:rPr>
          <w:rFonts w:ascii="Humanst521 BT" w:eastAsiaTheme="minorHAnsi" w:hAnsi="Humanst521 BT" w:cstheme="minorBidi"/>
          <w:sz w:val="24"/>
          <w:szCs w:val="24"/>
          <w:lang w:val="de-AT" w:eastAsia="en-US"/>
        </w:rPr>
        <w:t>Heute wurde ich in der Qualitätssicherungsleitlinie „Versorgung und Betreuung der Bewohner von Alten- und Pflegeheimen oder sonstigen Betreuungseinrichtungen“ der Österreichischen Apothekerkammer unterwiesen. Insbesondere wurde besprochen:</w:t>
      </w:r>
    </w:p>
    <w:p w:rsidR="00A82261" w:rsidRPr="000B29ED" w:rsidRDefault="00A82261" w:rsidP="00A82261">
      <w:pPr>
        <w:jc w:val="both"/>
        <w:rPr>
          <w:rFonts w:ascii="Humanst521 BT" w:hAnsi="Humanst521 BT"/>
          <w:sz w:val="24"/>
          <w:szCs w:val="24"/>
        </w:rPr>
      </w:pPr>
    </w:p>
    <w:p w:rsidR="00A82261" w:rsidRPr="000B29ED" w:rsidRDefault="00A82261" w:rsidP="00A82261">
      <w:pPr>
        <w:jc w:val="both"/>
        <w:rPr>
          <w:rFonts w:ascii="Humanst521 BT" w:hAnsi="Humanst521 BT"/>
          <w:sz w:val="24"/>
          <w:szCs w:val="24"/>
        </w:rPr>
      </w:pPr>
    </w:p>
    <w:p w:rsidR="00A82261" w:rsidRPr="000B29ED" w:rsidRDefault="00A82261" w:rsidP="00A82261">
      <w:pPr>
        <w:jc w:val="both"/>
        <w:rPr>
          <w:rFonts w:ascii="Humanst521 BT" w:hAnsi="Humanst521 BT"/>
          <w:sz w:val="24"/>
          <w:szCs w:val="24"/>
        </w:rPr>
      </w:pPr>
    </w:p>
    <w:p w:rsidR="00A82261" w:rsidRPr="000B29ED" w:rsidRDefault="00A82261" w:rsidP="00A82261">
      <w:pPr>
        <w:pStyle w:val="Textkrper"/>
        <w:rPr>
          <w:rFonts w:ascii="Humanst521 BT" w:eastAsiaTheme="minorHAnsi" w:hAnsi="Humanst521 BT" w:cstheme="minorBidi"/>
          <w:sz w:val="24"/>
          <w:szCs w:val="24"/>
          <w:lang w:val="de-AT" w:eastAsia="en-US"/>
        </w:rPr>
      </w:pPr>
      <w:r w:rsidRPr="000B29ED">
        <w:rPr>
          <w:rFonts w:ascii="Humanst521 BT" w:eastAsiaTheme="minorHAnsi" w:hAnsi="Humanst521 BT" w:cstheme="minorBidi"/>
          <w:sz w:val="24"/>
          <w:szCs w:val="24"/>
          <w:lang w:val="de-AT" w:eastAsia="en-US"/>
        </w:rPr>
        <w:t>Ich habe die Qualitätssicherungsleitlinie „Versorgung und Betreuung der Bewohner von Alten- und Pflegeheimen oder sonstigen Betreuungseinrichtungen“ der Österreichischen Apothekerkammer gelesen und dazu alle erwünschten Aufklärungen erhalten.</w:t>
      </w:r>
    </w:p>
    <w:p w:rsidR="00A82261" w:rsidRPr="000B29ED" w:rsidRDefault="00A82261">
      <w:pPr>
        <w:rPr>
          <w:rFonts w:ascii="Humanst521 BT" w:hAnsi="Humanst521 BT"/>
          <w:sz w:val="24"/>
          <w:szCs w:val="24"/>
        </w:rPr>
      </w:pP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2127"/>
        <w:gridCol w:w="4110"/>
      </w:tblGrid>
      <w:tr w:rsidR="00A82261" w:rsidRPr="000B29ED" w:rsidTr="00A82261">
        <w:trPr>
          <w:trHeight w:val="418"/>
        </w:trPr>
        <w:tc>
          <w:tcPr>
            <w:tcW w:w="3458" w:type="dxa"/>
            <w:vAlign w:val="center"/>
          </w:tcPr>
          <w:p w:rsidR="00A82261" w:rsidRPr="000B29ED" w:rsidRDefault="00A82261" w:rsidP="00A82261">
            <w:pPr>
              <w:pStyle w:val="Textkrper"/>
              <w:jc w:val="left"/>
              <w:rPr>
                <w:rFonts w:ascii="Humanst521 BT" w:eastAsiaTheme="minorHAnsi" w:hAnsi="Humanst521 BT" w:cstheme="minorBidi"/>
                <w:sz w:val="24"/>
                <w:szCs w:val="24"/>
                <w:lang w:val="de-AT" w:eastAsia="en-US"/>
              </w:rPr>
            </w:pPr>
            <w:r w:rsidRPr="000B29ED">
              <w:rPr>
                <w:rFonts w:ascii="Humanst521 BT" w:eastAsiaTheme="minorHAnsi" w:hAnsi="Humanst521 BT" w:cstheme="minorBidi"/>
                <w:sz w:val="24"/>
                <w:szCs w:val="24"/>
                <w:lang w:val="de-AT" w:eastAsia="en-US"/>
              </w:rPr>
              <w:br w:type="page"/>
              <w:t>Name</w:t>
            </w:r>
          </w:p>
        </w:tc>
        <w:tc>
          <w:tcPr>
            <w:tcW w:w="2127" w:type="dxa"/>
            <w:vAlign w:val="center"/>
          </w:tcPr>
          <w:p w:rsidR="00A82261" w:rsidRPr="000B29ED" w:rsidRDefault="00A82261" w:rsidP="00A82261">
            <w:pPr>
              <w:pStyle w:val="Textkrper"/>
              <w:jc w:val="left"/>
              <w:rPr>
                <w:rFonts w:ascii="Humanst521 BT" w:eastAsiaTheme="minorHAnsi" w:hAnsi="Humanst521 BT" w:cstheme="minorBidi"/>
                <w:sz w:val="24"/>
                <w:szCs w:val="24"/>
                <w:lang w:val="de-AT" w:eastAsia="en-US"/>
              </w:rPr>
            </w:pPr>
            <w:r w:rsidRPr="000B29ED">
              <w:rPr>
                <w:rFonts w:ascii="Humanst521 BT" w:eastAsiaTheme="minorHAnsi" w:hAnsi="Humanst521 BT" w:cstheme="minorBidi"/>
                <w:sz w:val="24"/>
                <w:szCs w:val="24"/>
                <w:lang w:val="de-AT" w:eastAsia="en-US"/>
              </w:rPr>
              <w:t>Datum</w:t>
            </w:r>
          </w:p>
        </w:tc>
        <w:tc>
          <w:tcPr>
            <w:tcW w:w="4110" w:type="dxa"/>
            <w:vAlign w:val="center"/>
          </w:tcPr>
          <w:p w:rsidR="00A82261" w:rsidRPr="000B29ED" w:rsidRDefault="00A82261" w:rsidP="00A82261">
            <w:pPr>
              <w:pStyle w:val="Textkrper"/>
              <w:jc w:val="left"/>
              <w:rPr>
                <w:rFonts w:ascii="Humanst521 BT" w:eastAsiaTheme="minorHAnsi" w:hAnsi="Humanst521 BT" w:cstheme="minorBidi"/>
                <w:sz w:val="24"/>
                <w:szCs w:val="24"/>
                <w:lang w:val="de-AT" w:eastAsia="en-US"/>
              </w:rPr>
            </w:pPr>
            <w:r w:rsidRPr="000B29ED">
              <w:rPr>
                <w:rFonts w:ascii="Humanst521 BT" w:eastAsiaTheme="minorHAnsi" w:hAnsi="Humanst521 BT" w:cstheme="minorBidi"/>
                <w:sz w:val="24"/>
                <w:szCs w:val="24"/>
                <w:lang w:val="de-AT" w:eastAsia="en-US"/>
              </w:rPr>
              <w:t>Unterschrift</w:t>
            </w:r>
          </w:p>
        </w:tc>
      </w:tr>
      <w:tr w:rsidR="00A82261" w:rsidRPr="000B29ED" w:rsidTr="00A82261">
        <w:trPr>
          <w:trHeight w:val="728"/>
        </w:trPr>
        <w:tc>
          <w:tcPr>
            <w:tcW w:w="3458" w:type="dxa"/>
            <w:shd w:val="clear" w:color="auto" w:fill="C0C0C0"/>
          </w:tcPr>
          <w:p w:rsidR="00A82261" w:rsidRPr="000B29ED" w:rsidRDefault="00A82261" w:rsidP="00A82261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2261" w:rsidRPr="000B29ED" w:rsidRDefault="00A82261" w:rsidP="00FC614A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umanst521 BT" w:hAnsi="Humanst521 BT" w:cs="Verdana"/>
                <w:sz w:val="24"/>
                <w:szCs w:val="24"/>
              </w:rPr>
            </w:pPr>
          </w:p>
        </w:tc>
      </w:tr>
      <w:tr w:rsidR="00A82261" w:rsidRPr="000B29ED" w:rsidTr="00A82261">
        <w:trPr>
          <w:trHeight w:val="728"/>
        </w:trPr>
        <w:tc>
          <w:tcPr>
            <w:tcW w:w="3458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2261" w:rsidRPr="000B29ED" w:rsidRDefault="00A82261" w:rsidP="00FC614A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umanst521 BT" w:hAnsi="Humanst521 BT" w:cs="Verdana"/>
                <w:sz w:val="24"/>
                <w:szCs w:val="24"/>
              </w:rPr>
            </w:pPr>
          </w:p>
        </w:tc>
      </w:tr>
      <w:tr w:rsidR="00A82261" w:rsidRPr="000B29ED" w:rsidTr="00A82261">
        <w:trPr>
          <w:trHeight w:val="728"/>
        </w:trPr>
        <w:tc>
          <w:tcPr>
            <w:tcW w:w="3458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2261" w:rsidRPr="000B29ED" w:rsidRDefault="00A82261" w:rsidP="00FC614A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umanst521 BT" w:hAnsi="Humanst521 BT" w:cs="Verdana"/>
                <w:sz w:val="24"/>
                <w:szCs w:val="24"/>
              </w:rPr>
            </w:pPr>
          </w:p>
        </w:tc>
      </w:tr>
      <w:tr w:rsidR="00A82261" w:rsidRPr="000B29ED" w:rsidTr="00A82261">
        <w:trPr>
          <w:trHeight w:val="728"/>
        </w:trPr>
        <w:tc>
          <w:tcPr>
            <w:tcW w:w="3458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2261" w:rsidRPr="000B29ED" w:rsidRDefault="00A82261" w:rsidP="00FC614A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umanst521 BT" w:hAnsi="Humanst521 BT" w:cs="Verdana"/>
                <w:sz w:val="24"/>
                <w:szCs w:val="24"/>
              </w:rPr>
            </w:pPr>
          </w:p>
        </w:tc>
      </w:tr>
      <w:tr w:rsidR="00A82261" w:rsidRPr="000B29ED" w:rsidTr="00A82261">
        <w:trPr>
          <w:trHeight w:val="728"/>
        </w:trPr>
        <w:tc>
          <w:tcPr>
            <w:tcW w:w="3458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2261" w:rsidRPr="000B29ED" w:rsidRDefault="00A82261" w:rsidP="00FC614A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umanst521 BT" w:hAnsi="Humanst521 BT" w:cs="Verdana"/>
                <w:sz w:val="24"/>
                <w:szCs w:val="24"/>
              </w:rPr>
            </w:pPr>
          </w:p>
        </w:tc>
      </w:tr>
      <w:tr w:rsidR="00A82261" w:rsidRPr="000B29ED" w:rsidTr="00A82261">
        <w:trPr>
          <w:trHeight w:val="728"/>
        </w:trPr>
        <w:tc>
          <w:tcPr>
            <w:tcW w:w="3458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0C0C0"/>
          </w:tcPr>
          <w:p w:rsidR="00A82261" w:rsidRPr="000B29ED" w:rsidRDefault="00A82261" w:rsidP="00FC614A">
            <w:pPr>
              <w:numPr>
                <w:ilvl w:val="12"/>
                <w:numId w:val="0"/>
              </w:numPr>
              <w:rPr>
                <w:rFonts w:ascii="Humanst521 BT" w:hAnsi="Humanst521 BT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2261" w:rsidRPr="000B29ED" w:rsidRDefault="00A82261" w:rsidP="00FC614A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umanst521 BT" w:hAnsi="Humanst521 BT" w:cs="Verdana"/>
                <w:sz w:val="24"/>
                <w:szCs w:val="24"/>
              </w:rPr>
            </w:pPr>
          </w:p>
        </w:tc>
      </w:tr>
    </w:tbl>
    <w:p w:rsidR="00A82261" w:rsidRPr="000B29ED" w:rsidRDefault="00A82261">
      <w:pPr>
        <w:rPr>
          <w:rFonts w:ascii="Humanst521 BT" w:hAnsi="Humanst521 BT"/>
          <w:sz w:val="24"/>
          <w:szCs w:val="24"/>
          <w:lang w:val="de-DE"/>
        </w:rPr>
      </w:pPr>
    </w:p>
    <w:sectPr w:rsidR="00A82261" w:rsidRPr="000B29ED" w:rsidSect="00485A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1"/>
    <w:rsid w:val="000B29ED"/>
    <w:rsid w:val="002919CB"/>
    <w:rsid w:val="002F1ED0"/>
    <w:rsid w:val="002F7B78"/>
    <w:rsid w:val="00485A08"/>
    <w:rsid w:val="006631E3"/>
    <w:rsid w:val="0080751B"/>
    <w:rsid w:val="0089439A"/>
    <w:rsid w:val="00A82261"/>
    <w:rsid w:val="00AD3205"/>
    <w:rsid w:val="00CB7D75"/>
    <w:rsid w:val="00DF39EF"/>
    <w:rsid w:val="00E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756B9-83F3-41A3-A696-A9419FB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A82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Arial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82261"/>
    <w:rPr>
      <w:rFonts w:ascii="Arial" w:eastAsiaTheme="minorEastAsia" w:hAnsi="Arial" w:cs="Arial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A8226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EastAsia" w:hAnsi="Arial" w:cs="Arial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2261"/>
    <w:rPr>
      <w:rFonts w:ascii="Arial" w:eastAsiaTheme="minorEastAsia" w:hAnsi="Arial" w:cs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Putz</dc:creator>
  <cp:lastModifiedBy>Anna Stranz</cp:lastModifiedBy>
  <cp:revision>2</cp:revision>
  <cp:lastPrinted>2014-06-25T08:37:00Z</cp:lastPrinted>
  <dcterms:created xsi:type="dcterms:W3CDTF">2019-09-16T08:47:00Z</dcterms:created>
  <dcterms:modified xsi:type="dcterms:W3CDTF">2019-09-16T08:47:00Z</dcterms:modified>
</cp:coreProperties>
</file>